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9F" w:rsidRDefault="00D6179F" w:rsidP="0071325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6815C0">
        <w:rPr>
          <w:rFonts w:ascii="Verdana-Bold" w:hAnsi="Verdana-Bold" w:cs="Verdana-Bold"/>
          <w:b/>
          <w:bCs/>
          <w:sz w:val="24"/>
          <w:szCs w:val="24"/>
          <w:highlight w:val="yellow"/>
        </w:rPr>
        <w:t>NORMA COMPLEMENTAR Nº 002/2013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Normatiza a fiscalização, apuração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 w:rsidRPr="00F01583">
        <w:rPr>
          <w:rFonts w:ascii="Verdana-Bold" w:hAnsi="Verdana-Bold" w:cs="Verdana-Bold"/>
          <w:b/>
          <w:bCs/>
          <w:sz w:val="24"/>
          <w:szCs w:val="24"/>
        </w:rPr>
        <w:t>e a aplicação de penalidades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r</w:t>
      </w:r>
      <w:r w:rsidRPr="00F01583">
        <w:rPr>
          <w:rFonts w:ascii="Verdana-Bold" w:hAnsi="Verdana-Bold" w:cs="Verdana-Bold"/>
          <w:b/>
          <w:bCs/>
          <w:sz w:val="24"/>
          <w:szCs w:val="24"/>
        </w:rPr>
        <w:t>elacionadas ao uso irregular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d</w:t>
      </w:r>
      <w:r w:rsidRPr="00F01583">
        <w:rPr>
          <w:rFonts w:ascii="Verdana-Bold" w:hAnsi="Verdana-Bold" w:cs="Verdana-Bold"/>
          <w:b/>
          <w:bCs/>
          <w:sz w:val="24"/>
          <w:szCs w:val="24"/>
        </w:rPr>
        <w:t>a gratuidade concedida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 w:rsidRPr="00F01583">
        <w:rPr>
          <w:rFonts w:ascii="Verdana-Bold" w:hAnsi="Verdana-Bold" w:cs="Verdana-Bold"/>
          <w:b/>
          <w:bCs/>
          <w:sz w:val="24"/>
          <w:szCs w:val="24"/>
        </w:rPr>
        <w:t>conforme previsto na Lei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 w:rsidRPr="00F01583">
        <w:rPr>
          <w:rFonts w:ascii="Verdana-Bold" w:hAnsi="Verdana-Bold" w:cs="Verdana-Bold"/>
          <w:b/>
          <w:bCs/>
          <w:sz w:val="24"/>
          <w:szCs w:val="24"/>
        </w:rPr>
        <w:t>Complementar nº 213/01.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O Diretor Presidente da Companhia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Transportes Urbanos da</w:t>
      </w:r>
      <w:r>
        <w:rPr>
          <w:rFonts w:ascii="Verdana" w:hAnsi="Verdana" w:cs="Verdana"/>
          <w:sz w:val="24"/>
          <w:szCs w:val="24"/>
        </w:rPr>
        <w:t xml:space="preserve"> G</w:t>
      </w:r>
      <w:r w:rsidRPr="00F01583">
        <w:rPr>
          <w:rFonts w:ascii="Verdana" w:hAnsi="Verdana" w:cs="Verdana"/>
          <w:sz w:val="24"/>
          <w:szCs w:val="24"/>
        </w:rPr>
        <w:t>rande Vitória - Ceturb-GV, no uso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suas atribuições legais, consubstanciadas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nos Artigos 29, parágrafo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2º, e 69 do Regulamento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dos Transportes Coletivos de Passageiros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na Aglomeração Urbana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Grande Vitória, homologado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pelo Decreto nº 2.751-N/1989, na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Lei Complementar nº 213/2001 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cumprindo ainda os termos da Lei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Complementar nº 433/2008,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Convênio nº 002/2008, firmado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entre a Ceturb-GV, o Sindicato das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Empresas de Transporte Metropolitano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Grande Vitória - GVBus 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as Operadoras do Sistema TRANSCOL,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 Decreto Estadual nº 1832-R/2007 e das Normas Complementares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nºs 002/2007 e 004/2009, e</w:t>
      </w:r>
      <w:r>
        <w:rPr>
          <w:rFonts w:ascii="Verdana" w:hAnsi="Verdana" w:cs="Verdana"/>
          <w:sz w:val="24"/>
          <w:szCs w:val="24"/>
        </w:rPr>
        <w:t xml:space="preserve"> 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CONSIDERANDO que a inclusão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Cartão Transcol Gratuidade para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Pessoas com Deficiência - PcD no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Sistema de Bilhetagem Eletrônica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trouxe melhorias para os usuários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uso de seu direito, pois possibilita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transposição da catraca por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aqueles em condições de fazê-lo,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além de facilitar a fiscalização,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 xml:space="preserve">permitindo o </w:t>
      </w:r>
      <w:r>
        <w:rPr>
          <w:rFonts w:ascii="Verdana" w:hAnsi="Verdana" w:cs="Verdana"/>
          <w:sz w:val="24"/>
          <w:szCs w:val="24"/>
        </w:rPr>
        <w:t>a</w:t>
      </w:r>
      <w:r w:rsidRPr="00F01583">
        <w:rPr>
          <w:rFonts w:ascii="Verdana" w:hAnsi="Verdana" w:cs="Verdana"/>
          <w:sz w:val="24"/>
          <w:szCs w:val="24"/>
        </w:rPr>
        <w:t>companhamento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uso do benefício;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CONSIDERANDO, ainda, a necessidade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 xml:space="preserve">de se flexibilizar o </w:t>
      </w:r>
      <w:r>
        <w:rPr>
          <w:rFonts w:ascii="Verdana" w:hAnsi="Verdana" w:cs="Verdana"/>
          <w:sz w:val="24"/>
          <w:szCs w:val="24"/>
        </w:rPr>
        <w:t>e</w:t>
      </w:r>
      <w:r w:rsidRPr="00F01583">
        <w:rPr>
          <w:rFonts w:ascii="Verdana" w:hAnsi="Verdana" w:cs="Verdana"/>
          <w:sz w:val="24"/>
          <w:szCs w:val="24"/>
        </w:rPr>
        <w:t>ntendimento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 artigo 11 da Lei Complementar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nº 213/2001, e com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base no artigo 16 da mesma Lei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Complementar,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RESOLVE: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1º </w:t>
      </w:r>
      <w:r w:rsidRPr="00F01583">
        <w:rPr>
          <w:rFonts w:ascii="Verdana" w:hAnsi="Verdana" w:cs="Verdana"/>
          <w:sz w:val="24"/>
          <w:szCs w:val="24"/>
        </w:rPr>
        <w:t>A fiscalização do uso do Passe Livre será exercida pela Ceturb-GV, Empresas Operadoras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 o Sindicato das Empresas 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Transporte Metropolitano da Grande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Vitória - GVBus, diretamente ou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através de seus prepostos.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2° </w:t>
      </w:r>
      <w:r w:rsidRPr="00F01583">
        <w:rPr>
          <w:rFonts w:ascii="Verdana" w:hAnsi="Verdana" w:cs="Verdana"/>
          <w:sz w:val="24"/>
          <w:szCs w:val="24"/>
        </w:rPr>
        <w:t>Caso os responsáveis pela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fiscalização, mencionados no artigo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anterior, constatem indício 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alguma das irregularidades previstas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artigo 11 da Lei Complementar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213/2001, comunicarão 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fato para a Gerência de Atendimento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ao Usuário da Ceturb-GV,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por meio de relato escrito e circunstanciado,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 informarão o fato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Sistema de Passe Livre (software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Ceturb-GV), no prazo máximo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três dias úteis.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1º </w:t>
      </w:r>
      <w:r w:rsidRPr="00F01583">
        <w:rPr>
          <w:rFonts w:ascii="Verdana" w:hAnsi="Verdana" w:cs="Verdana"/>
          <w:sz w:val="24"/>
          <w:szCs w:val="24"/>
        </w:rPr>
        <w:t>Sempre que possível, o responsável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 xml:space="preserve">pela fiscalização </w:t>
      </w:r>
      <w:r>
        <w:rPr>
          <w:rFonts w:ascii="Verdana" w:hAnsi="Verdana" w:cs="Verdana"/>
          <w:sz w:val="24"/>
          <w:szCs w:val="24"/>
        </w:rPr>
        <w:t>p</w:t>
      </w:r>
      <w:r w:rsidRPr="00F01583">
        <w:rPr>
          <w:rFonts w:ascii="Verdana" w:hAnsi="Verdana" w:cs="Verdana"/>
          <w:sz w:val="24"/>
          <w:szCs w:val="24"/>
        </w:rPr>
        <w:t>rovidenciará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o recolhimento do cartão,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encaminhando-o para a Ceturb-GV, para a Gerência de Atendimento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ao Usuário, no prazo máximo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três dias úteis.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2º </w:t>
      </w:r>
      <w:r w:rsidRPr="00F01583">
        <w:rPr>
          <w:rFonts w:ascii="Verdana" w:hAnsi="Verdana" w:cs="Verdana"/>
          <w:sz w:val="24"/>
          <w:szCs w:val="24"/>
        </w:rPr>
        <w:t>Quando se tratar de outra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pessoa que não o beneficiário utilizando-se do cartão, o GVBus poderá,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imediato, fazer o bloqueio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cautelar do cartão no Sistema 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Bilhetagem Eletrônica do Transcol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(SBE).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3º </w:t>
      </w:r>
      <w:r w:rsidRPr="00F01583">
        <w:rPr>
          <w:rFonts w:ascii="Verdana" w:hAnsi="Verdana" w:cs="Verdana"/>
          <w:sz w:val="24"/>
          <w:szCs w:val="24"/>
        </w:rPr>
        <w:t>Quando se observar cartões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com data da validade expirada ou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válidos, porém mal conservados,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quebrados, foto ou dados apagados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ou outras situações semelhantes,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o mesmo poderá ser recolhido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 o usuário deverá ser orientado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sobre como proceder para obter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novo cartão.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4º </w:t>
      </w:r>
      <w:r w:rsidRPr="00F01583">
        <w:rPr>
          <w:rFonts w:ascii="Verdana" w:hAnsi="Verdana" w:cs="Verdana"/>
          <w:sz w:val="24"/>
          <w:szCs w:val="24"/>
        </w:rPr>
        <w:t>Sempre que se constatar cartão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adulterado ou falsificado, 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mesmo deverá ser recolhido e,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 xml:space="preserve">caso possível, seu usuário </w:t>
      </w:r>
      <w:r>
        <w:rPr>
          <w:rFonts w:ascii="Verdana" w:hAnsi="Verdana" w:cs="Verdana"/>
          <w:sz w:val="24"/>
          <w:szCs w:val="24"/>
        </w:rPr>
        <w:t>i</w:t>
      </w:r>
      <w:r w:rsidRPr="00F01583">
        <w:rPr>
          <w:rFonts w:ascii="Verdana" w:hAnsi="Verdana" w:cs="Verdana"/>
          <w:sz w:val="24"/>
          <w:szCs w:val="24"/>
        </w:rPr>
        <w:t>dentificado.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Em havendo condições,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deverá ser informada a autoridade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competente.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3º </w:t>
      </w:r>
      <w:r w:rsidRPr="00F01583">
        <w:rPr>
          <w:rFonts w:ascii="Verdana" w:hAnsi="Verdana" w:cs="Verdana"/>
          <w:sz w:val="24"/>
          <w:szCs w:val="24"/>
        </w:rPr>
        <w:t>A Gerência de Atendimento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ao Usuário, em caso de indício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irregularidade:</w:t>
      </w:r>
    </w:p>
    <w:p w:rsidR="00D6179F" w:rsidRPr="00155485" w:rsidRDefault="00D6179F" w:rsidP="00155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55485">
        <w:rPr>
          <w:rFonts w:ascii="Verdana" w:hAnsi="Verdana" w:cs="Verdana"/>
          <w:sz w:val="24"/>
          <w:szCs w:val="24"/>
        </w:rPr>
        <w:t>Solicitará a abertura de processo administrativo, de modo a se apurar o fato para, conforme o caso, aplicar a penalidade cabível.</w:t>
      </w:r>
    </w:p>
    <w:p w:rsidR="00D6179F" w:rsidRPr="00155485" w:rsidRDefault="00D6179F" w:rsidP="00155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55485">
        <w:rPr>
          <w:rFonts w:ascii="Verdana" w:hAnsi="Verdana" w:cs="Verdana"/>
          <w:sz w:val="24"/>
          <w:szCs w:val="24"/>
        </w:rPr>
        <w:t>Solicitará ao GVBUS a suspensão cautelar do cartão ou, nos casos previstos no § 2º do Art. 2° desta Norma, manterá o bloqueio.</w:t>
      </w:r>
    </w:p>
    <w:p w:rsidR="00D6179F" w:rsidRPr="00155485" w:rsidRDefault="00D6179F" w:rsidP="00155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55485">
        <w:rPr>
          <w:rFonts w:ascii="Verdana" w:hAnsi="Verdana" w:cs="Verdana"/>
          <w:sz w:val="24"/>
          <w:szCs w:val="24"/>
        </w:rPr>
        <w:t>Comunicará o fato por escrito ao beneficiário ou ao seu responsável.</w:t>
      </w:r>
    </w:p>
    <w:p w:rsidR="00D6179F" w:rsidRPr="00155485" w:rsidRDefault="00D6179F" w:rsidP="00155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155485">
        <w:rPr>
          <w:rFonts w:ascii="Verdana" w:hAnsi="Verdana" w:cs="Verdana"/>
          <w:sz w:val="24"/>
          <w:szCs w:val="24"/>
        </w:rPr>
        <w:t>Encaminhará o processo à Diretoria de Planejamento, para a ciência e a publicação prevista no artigo 12 desta Norma Complementar.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Parágrafo único</w:t>
      </w:r>
      <w:r w:rsidRPr="00F01583">
        <w:rPr>
          <w:rFonts w:ascii="Verdana" w:hAnsi="Verdana" w:cs="Verdana"/>
          <w:sz w:val="24"/>
          <w:szCs w:val="24"/>
        </w:rPr>
        <w:t>. Havendo indício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nova infração, a correspondente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apuração se dará no mesmo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processo em que a primeira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ocorrência foi apurada.</w:t>
      </w:r>
    </w:p>
    <w:p w:rsidR="00D6179F" w:rsidRPr="00155485" w:rsidRDefault="00D6179F" w:rsidP="001554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4º </w:t>
      </w:r>
      <w:r w:rsidRPr="00F01583">
        <w:rPr>
          <w:rFonts w:ascii="Verdana" w:hAnsi="Verdana" w:cs="Verdana"/>
          <w:sz w:val="24"/>
          <w:szCs w:val="24"/>
        </w:rPr>
        <w:t>Na comunicação prevista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inciso III do art. 3º deverá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constar a informação ao beneficiário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ou ao seu responsável do direito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apresentar defesa escrita,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prazo máximo de 10 (dez)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dias, bem como a suspensão cautelar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 benefício, quando for 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caso.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1º </w:t>
      </w:r>
      <w:r w:rsidRPr="00F01583">
        <w:rPr>
          <w:rFonts w:ascii="Verdana" w:hAnsi="Verdana" w:cs="Verdana"/>
          <w:sz w:val="24"/>
          <w:szCs w:val="24"/>
        </w:rPr>
        <w:t>Em não sendo encontrado 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usuário, o processo prosseguirá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normalmente.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2º </w:t>
      </w:r>
      <w:r w:rsidRPr="00F01583">
        <w:rPr>
          <w:rFonts w:ascii="Verdana" w:hAnsi="Verdana" w:cs="Verdana"/>
          <w:sz w:val="24"/>
          <w:szCs w:val="24"/>
        </w:rPr>
        <w:t>O usuário poderá ingressar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processo a qualquer tempo,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recebendo-o no estágio em que se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encontrar.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5º </w:t>
      </w:r>
      <w:r w:rsidRPr="00F01583">
        <w:rPr>
          <w:rFonts w:ascii="Verdana" w:hAnsi="Verdana" w:cs="Verdana"/>
          <w:sz w:val="24"/>
          <w:szCs w:val="24"/>
        </w:rPr>
        <w:t>Concluída a instrução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processo a Gerência de Atendimento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ao Usuário o remeterá para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Assessoria Jurídica, para análise.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6º </w:t>
      </w:r>
      <w:r w:rsidRPr="00F01583">
        <w:rPr>
          <w:rFonts w:ascii="Verdana" w:hAnsi="Verdana" w:cs="Verdana"/>
          <w:sz w:val="24"/>
          <w:szCs w:val="24"/>
        </w:rPr>
        <w:t>Após a análise jurídica 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processo será remetido à Diretoria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Planejamento, para decisão.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7º </w:t>
      </w:r>
      <w:r w:rsidRPr="00F01583">
        <w:rPr>
          <w:rFonts w:ascii="Verdana" w:hAnsi="Verdana" w:cs="Verdana"/>
          <w:sz w:val="24"/>
          <w:szCs w:val="24"/>
        </w:rPr>
        <w:t>Caberá recurso, sem efeito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suspensivo, para o Diretor Presidente,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decisão proferida pela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Diretoria de Planejamento, no prazo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10 (dez) dias da publicação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respectiva decisão, na forma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artigo 12 desta Norma Complementar.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Parágrafo único</w:t>
      </w:r>
      <w:r w:rsidRPr="00F01583">
        <w:rPr>
          <w:rFonts w:ascii="Verdana" w:hAnsi="Verdana" w:cs="Verdana"/>
          <w:sz w:val="24"/>
          <w:szCs w:val="24"/>
        </w:rPr>
        <w:t>. Antes da decisão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 Diretor Presidente, o recurso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interposto será remetido para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Assessoria Jurídica, para nova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análise.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8º </w:t>
      </w:r>
      <w:r w:rsidRPr="00F01583">
        <w:rPr>
          <w:rFonts w:ascii="Verdana" w:hAnsi="Verdana" w:cs="Verdana"/>
          <w:sz w:val="24"/>
          <w:szCs w:val="24"/>
        </w:rPr>
        <w:t>Na instrução do processo,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qualquer tempo, a Ceturb-GV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poderá realizar as diligências que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entender cabíveis para apurar 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veracidade dos fatos.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9º </w:t>
      </w:r>
      <w:r w:rsidRPr="00F01583">
        <w:rPr>
          <w:rFonts w:ascii="Verdana" w:hAnsi="Verdana" w:cs="Verdana"/>
          <w:sz w:val="24"/>
          <w:szCs w:val="24"/>
        </w:rPr>
        <w:t>Será garantido ao beneficiário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ou ao seu representante 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amplo direito ao contraditório 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ampla defesa em todas as fases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 processo de averiguação do uso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indevido.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Parágrafo Único</w:t>
      </w:r>
      <w:r w:rsidRPr="00F01583">
        <w:rPr>
          <w:rFonts w:ascii="Verdana" w:hAnsi="Verdana" w:cs="Verdana"/>
          <w:sz w:val="24"/>
          <w:szCs w:val="24"/>
        </w:rPr>
        <w:t>. O beneficiário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poderá fazer-se assistir, facultativamente,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por advogado.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Art. 10</w:t>
      </w:r>
      <w:r w:rsidRPr="00F01583">
        <w:rPr>
          <w:rFonts w:ascii="Verdana" w:hAnsi="Verdana" w:cs="Verdana"/>
          <w:sz w:val="24"/>
          <w:szCs w:val="24"/>
        </w:rPr>
        <w:t>. Após a apuração do fato,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constatada alguma das irregularidades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previstas no artigo 11 da Lei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Complementar 213/2001, a Ceturb-GV aplicará a penalidade 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cassação do benefício do usuário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infrator.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1º </w:t>
      </w:r>
      <w:r w:rsidRPr="00F01583">
        <w:rPr>
          <w:rFonts w:ascii="Verdana" w:hAnsi="Verdana" w:cs="Verdana"/>
          <w:sz w:val="24"/>
          <w:szCs w:val="24"/>
        </w:rPr>
        <w:t>Nas hipóteses em que a infração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apurada tiver menor gravidade,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 se as circunstâncias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caso concreto permitirem, a Ceturb-GV poderá deixar de aplicar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cassação, aplicando ao infrator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penalidade de suspensão do benefício, até o limite de 02 (dois)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anos, contados da data da publicação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referida no artigo 12 desta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Norma Complementar.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2º </w:t>
      </w:r>
      <w:r w:rsidRPr="00F01583">
        <w:rPr>
          <w:rFonts w:ascii="Verdana" w:hAnsi="Verdana" w:cs="Verdana"/>
          <w:sz w:val="24"/>
          <w:szCs w:val="24"/>
        </w:rPr>
        <w:t>Excepcionalmente, quando 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circunstâncias do caso concreto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apontarem para fato de irrelevante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potencialidade lesiva, poderão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ser aplicadas penalidades mais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brandas do que as previstas no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parágrafo anterior, tais como advertência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e/ou limitação do número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viagens, devendo todas 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circunstâncias serem justificadas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quando da aplicação da referida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penalidade.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§ 3º </w:t>
      </w:r>
      <w:r w:rsidRPr="00F01583">
        <w:rPr>
          <w:rFonts w:ascii="Verdana" w:hAnsi="Verdana" w:cs="Verdana"/>
          <w:sz w:val="24"/>
          <w:szCs w:val="24"/>
        </w:rPr>
        <w:t>A lesividade do fato, para os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fins do parágrafo anterior, deverá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ser atestada pela Comissão instituída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âmbito da Gerência 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Atendimento ao Usuário para subsidiar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decisão sobre assuntos referentes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ao passe livre.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11 </w:t>
      </w:r>
      <w:r w:rsidRPr="00F01583">
        <w:rPr>
          <w:rFonts w:ascii="Verdana" w:hAnsi="Verdana" w:cs="Verdana"/>
          <w:sz w:val="24"/>
          <w:szCs w:val="24"/>
        </w:rPr>
        <w:t>Quando for imposta a penalidade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suspensão computarse-á, nesta, o tempo da suspensão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cautelar do cartão prevista no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inciso II do artigo 3º desta Norma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Complementar.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 A"/>
        </w:smartTagPr>
        <w:r w:rsidRPr="00F01583">
          <w:rPr>
            <w:rFonts w:ascii="Verdana-Bold" w:hAnsi="Verdana-Bold" w:cs="Verdana-Bold"/>
            <w:b/>
            <w:bCs/>
            <w:sz w:val="24"/>
            <w:szCs w:val="24"/>
          </w:rPr>
          <w:t xml:space="preserve">12 </w:t>
        </w:r>
        <w:r w:rsidRPr="00F01583">
          <w:rPr>
            <w:rFonts w:ascii="Verdana" w:hAnsi="Verdana" w:cs="Verdana"/>
            <w:sz w:val="24"/>
            <w:szCs w:val="24"/>
          </w:rPr>
          <w:t>A</w:t>
        </w:r>
      </w:smartTag>
      <w:r w:rsidRPr="00F01583">
        <w:rPr>
          <w:rFonts w:ascii="Verdana" w:hAnsi="Verdana" w:cs="Verdana"/>
          <w:sz w:val="24"/>
          <w:szCs w:val="24"/>
        </w:rPr>
        <w:t xml:space="preserve"> Ceturb-GV fará a publicação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suspensão cautelar prevista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inciso II do artigo 3º e das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decisões previstas nos artigos 6º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 7º desta Norma Complementar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 Diário Oficial do Estado do Espírito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Santo, no prazo máximo de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10 (dez) dias após a data de efetivação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do respectivo ato.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13 </w:t>
      </w:r>
      <w:r w:rsidRPr="00F01583">
        <w:rPr>
          <w:rFonts w:ascii="Verdana" w:hAnsi="Verdana" w:cs="Verdana"/>
          <w:sz w:val="24"/>
          <w:szCs w:val="24"/>
        </w:rPr>
        <w:t>Nos casos de cassação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benefício, a reabilitação poderá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ser requerida depois de decorridos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05 (cinco) anos do dia em que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se der a publicação referida no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artigo 12 desta Norma Complementar,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desde que atendidas todas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as exigências da Lei Complementar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nº 213/2001.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14 </w:t>
      </w:r>
      <w:r w:rsidRPr="00F01583">
        <w:rPr>
          <w:rFonts w:ascii="Verdana" w:hAnsi="Verdana" w:cs="Verdana"/>
          <w:sz w:val="24"/>
          <w:szCs w:val="24"/>
        </w:rPr>
        <w:t>Os processos de que resultem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sanções poderão ser revistos,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a qualquer tempo, a pedido ou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de ofício, quando surgirem fatos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novos ou circunstâncias relevantes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suscetíveis de justificar a inadequação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da sanção aplicada.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Parágrafo único</w:t>
      </w:r>
      <w:r w:rsidRPr="00F01583">
        <w:rPr>
          <w:rFonts w:ascii="Verdana" w:hAnsi="Verdana" w:cs="Verdana"/>
          <w:sz w:val="24"/>
          <w:szCs w:val="24"/>
        </w:rPr>
        <w:t>. Da revisão do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processo não poderá resultar agravamento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da sanção.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15 </w:t>
      </w:r>
      <w:r w:rsidRPr="00F01583">
        <w:rPr>
          <w:rFonts w:ascii="Verdana" w:hAnsi="Verdana" w:cs="Verdana"/>
          <w:sz w:val="24"/>
          <w:szCs w:val="24"/>
        </w:rPr>
        <w:t>Os casos omissos serão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resolvidos pela Ceturb-GV de conformidade</w:t>
      </w: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com a analogia, o direito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 o interesse público.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D6179F" w:rsidRPr="00F01583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 xml:space="preserve">Art. 16 </w:t>
      </w:r>
      <w:r w:rsidRPr="00F01583">
        <w:rPr>
          <w:rFonts w:ascii="Verdana" w:hAnsi="Verdana" w:cs="Verdana"/>
          <w:sz w:val="24"/>
          <w:szCs w:val="24"/>
        </w:rPr>
        <w:t>Esta Norma Complementar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entra em vigor na data de sua</w:t>
      </w:r>
      <w:r>
        <w:rPr>
          <w:rFonts w:ascii="Verdana" w:hAnsi="Verdana" w:cs="Verdana"/>
          <w:sz w:val="24"/>
          <w:szCs w:val="24"/>
        </w:rPr>
        <w:t xml:space="preserve"> </w:t>
      </w:r>
      <w:r w:rsidRPr="00F01583">
        <w:rPr>
          <w:rFonts w:ascii="Verdana" w:hAnsi="Verdana" w:cs="Verdana"/>
          <w:sz w:val="24"/>
          <w:szCs w:val="24"/>
        </w:rPr>
        <w:t>publicação.</w:t>
      </w:r>
    </w:p>
    <w:p w:rsidR="00D6179F" w:rsidRDefault="00D6179F" w:rsidP="009E3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6179F" w:rsidRPr="00F01583" w:rsidRDefault="00D6179F" w:rsidP="001554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F01583">
        <w:rPr>
          <w:rFonts w:ascii="Verdana" w:hAnsi="Verdana" w:cs="Verdana"/>
          <w:sz w:val="24"/>
          <w:szCs w:val="24"/>
        </w:rPr>
        <w:t>Vitória, 22 de maio de 2013</w:t>
      </w:r>
    </w:p>
    <w:p w:rsidR="00D6179F" w:rsidRDefault="00D6179F" w:rsidP="0015548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F01583">
        <w:rPr>
          <w:rFonts w:ascii="Verdana-Bold" w:hAnsi="Verdana-Bold" w:cs="Verdana-Bold"/>
          <w:b/>
          <w:bCs/>
          <w:sz w:val="24"/>
          <w:szCs w:val="24"/>
        </w:rPr>
        <w:t>LÉO CARLOS CRUZ</w:t>
      </w:r>
    </w:p>
    <w:p w:rsidR="00D6179F" w:rsidRPr="00155485" w:rsidRDefault="00D6179F" w:rsidP="0015548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  <w:sz w:val="24"/>
          <w:szCs w:val="24"/>
        </w:rPr>
      </w:pPr>
      <w:r w:rsidRPr="00155485">
        <w:rPr>
          <w:rFonts w:ascii="Verdana-Bold" w:hAnsi="Verdana-Bold" w:cs="Verdana-Bold"/>
          <w:bCs/>
          <w:sz w:val="24"/>
          <w:szCs w:val="24"/>
        </w:rPr>
        <w:t>Diretor Presidente</w:t>
      </w:r>
    </w:p>
    <w:sectPr w:rsidR="00D6179F" w:rsidRPr="00155485" w:rsidSect="009E34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7D0"/>
    <w:multiLevelType w:val="hybridMultilevel"/>
    <w:tmpl w:val="806C264E"/>
    <w:lvl w:ilvl="0" w:tplc="0316A71C">
      <w:start w:val="1"/>
      <w:numFmt w:val="upperRoman"/>
      <w:lvlText w:val="%1."/>
      <w:lvlJc w:val="left"/>
      <w:pPr>
        <w:ind w:left="1080" w:hanging="720"/>
      </w:pPr>
      <w:rPr>
        <w:rFonts w:ascii="Verdana-Bold" w:hAnsi="Verdana-Bold" w:cs="Verdana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F2024"/>
    <w:multiLevelType w:val="hybridMultilevel"/>
    <w:tmpl w:val="9924757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71AC7"/>
    <w:multiLevelType w:val="hybridMultilevel"/>
    <w:tmpl w:val="A854466E"/>
    <w:lvl w:ilvl="0" w:tplc="DA3491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48593A"/>
    <w:multiLevelType w:val="hybridMultilevel"/>
    <w:tmpl w:val="8E14F93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FD2053"/>
    <w:multiLevelType w:val="hybridMultilevel"/>
    <w:tmpl w:val="38905C5A"/>
    <w:lvl w:ilvl="0" w:tplc="2B84C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5A6EBC"/>
    <w:multiLevelType w:val="hybridMultilevel"/>
    <w:tmpl w:val="BE8A6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583"/>
    <w:rsid w:val="00155485"/>
    <w:rsid w:val="0044486C"/>
    <w:rsid w:val="006815C0"/>
    <w:rsid w:val="0071325D"/>
    <w:rsid w:val="008D6295"/>
    <w:rsid w:val="009E343B"/>
    <w:rsid w:val="00BE3BC1"/>
    <w:rsid w:val="00D6179F"/>
    <w:rsid w:val="00F0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1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1174</Words>
  <Characters>6344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isaura</dc:creator>
  <cp:keywords/>
  <dc:description/>
  <cp:lastModifiedBy>herta</cp:lastModifiedBy>
  <cp:revision>2</cp:revision>
  <cp:lastPrinted>2013-05-27T17:58:00Z</cp:lastPrinted>
  <dcterms:created xsi:type="dcterms:W3CDTF">2013-05-27T16:48:00Z</dcterms:created>
  <dcterms:modified xsi:type="dcterms:W3CDTF">2016-12-06T12:49:00Z</dcterms:modified>
</cp:coreProperties>
</file>